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du="http://schemas.microsoft.com/office/word/2023/wordml/word16du" xmlns:w16sdtfl="http://schemas.microsoft.com/office/word/2024/wordml/sdtformatlock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ReportTitle"/>
      </w:pPr>
      <w:r>
        <w:t>Q3 2026 sales by region</w:t>
      </w:r>
    </w:p>
    <w:p>
      <w:pPr>
        <w:spacing w:after="280"/>
      </w:pPr>
      <w:r>
        <w:rPr>
          <w:color w:val="64748B"/>
        </w:rPr>
        <w:t>Prepared for the leadership team, 1 October 2026</w:t>
      </w:r>
    </w:p>
    <w:tbl>
      <w:tblPr>
        <w:tblW w:w="9638" w:type="dxa"/>
        <w:tblCellMar>
          <w:left w:w="0" w:type="dxa"/>
          <w:right w:w="0" w:type="dxa"/>
        </w:tblCellMar>
      </w:tblPr>
      <w:tblGrid>
        <w:gridCol w:w="3213"/>
        <w:gridCol w:w="3213"/>
        <w:gridCol w:w="3212"/>
      </w:tblGrid>
      <w:tr>
        <w:tc>
          <w:tcPr>
            <w:tcW w:w="3213" w:type="dxa"/>
            <w:shd w:val="clear" w:fill="EEF2FF"/>
            <w:tcMar>
              <w:top w:w="160" w:type="dxa"/>
              <w:left w:w="160" w:type="dxa"/>
              <w:bottom w:w="160" w:type="dxa"/>
              <w:right w:w="160" w:type="dxa"/>
            </w:tcMar>
          </w:tcPr>
          <w:p>
            <w:r>
              <w:rPr>
                <w:color w:val="64748B"/>
                <w:sz w:val="18"/>
                <w:szCs w:val="18"/>
              </w:rPr>
              <w:t>Revenue</w:t>
            </w:r>
            <w:r>
              <w:br/>
            </w:r>
            <w:r>
              <w:rPr>
                <w:b/>
                <w:bCs/>
                <w:color w:val="1E3A8A"/>
                <w:sz w:val="36"/>
                <w:szCs w:val="36"/>
              </w:rPr>
              <w:t>3.30 M</w:t>
            </w:r>
          </w:p>
        </w:tc>
        <w:tc>
          <w:tcPr>
            <w:tcW w:w="3213" w:type="dxa"/>
            <w:shd w:val="clear" w:fill="EEF2FF"/>
            <w:tcMar>
              <w:top w:w="160" w:type="dxa"/>
              <w:left w:w="160" w:type="dxa"/>
              <w:bottom w:w="160" w:type="dxa"/>
              <w:right w:w="160" w:type="dxa"/>
            </w:tcMar>
          </w:tcPr>
          <w:p>
            <w:r>
              <w:rPr>
                <w:color w:val="64748B"/>
                <w:sz w:val="18"/>
                <w:szCs w:val="18"/>
              </w:rPr>
              <w:t>Orders</w:t>
            </w:r>
            <w:r>
              <w:br/>
            </w:r>
            <w:r>
              <w:rPr>
                <w:b/>
                <w:bCs/>
                <w:color w:val="1E3A8A"/>
                <w:sz w:val="36"/>
                <w:szCs w:val="36"/>
              </w:rPr>
              <w:t>2,142</w:t>
            </w:r>
          </w:p>
        </w:tc>
        <w:tc>
          <w:tcPr>
            <w:tcW w:w="3212" w:type="dxa"/>
            <w:shd w:val="clear" w:fill="EEF2FF"/>
            <w:tcMar>
              <w:top w:w="160" w:type="dxa"/>
              <w:left w:w="160" w:type="dxa"/>
              <w:bottom w:w="160" w:type="dxa"/>
              <w:right w:w="160" w:type="dxa"/>
            </w:tcMar>
          </w:tcPr>
          <w:p>
            <w:r>
              <w:rPr>
                <w:color w:val="64748B"/>
                <w:sz w:val="18"/>
                <w:szCs w:val="18"/>
              </w:rPr>
              <w:t>Regions on target</w:t>
            </w:r>
            <w:r>
              <w:br/>
            </w:r>
            <w:r>
              <w:rPr>
                <w:b/>
                <w:bCs/>
                <w:color w:val="1E3A8A"/>
                <w:sz w:val="36"/>
                <w:szCs w:val="36"/>
              </w:rPr>
              <w:t>8 of 12</w:t>
            </w:r>
          </w:p>
        </w:tc>
      </w:tr>
    </w:tbl>
    <w:p>
      <w:pPr>
        <w:pStyle w:val="SectionHeading"/>
      </w:pPr>
      <w:r>
        <w:t>Highlights</w:t>
      </w:r>
    </w:p>
    <w:p>
      <w:pPr>
        <w:numPr>
          <w:ilvl w:val="0"/>
          <w:numId w:val="1"/>
        </w:numPr>
      </w:pPr>
      <w:r>
        <w:t>Taranaki led the quarter at 157% of target.</w:t>
      </w:r>
    </w:p>
    <w:p>
      <w:pPr>
        <w:numPr>
          <w:ilvl w:val="0"/>
          <w:numId w:val="1"/>
        </w:numPr>
      </w:pPr>
      <w:r>
        <w:t>Order volume held steady across the South Island.</w:t>
      </w:r>
    </w:p>
    <w:p>
      <w:pPr>
        <w:numPr>
          <w:ilvl w:val="0"/>
          <w:numId w:val="1"/>
        </w:numPr>
      </w:pPr>
      <w:r>
        <w:t>Two regions need a recovery plan before Q4:</w:t>
      </w:r>
    </w:p>
    <w:p>
      <w:pPr>
        <w:numPr>
          <w:ilvl w:val="1"/>
          <w:numId w:val="1"/>
        </w:numPr>
      </w:pPr>
      <w:r>
        <w:t>Auckland (76%)</w:t>
      </w:r>
    </w:p>
    <w:p>
      <w:pPr>
        <w:numPr>
          <w:ilvl w:val="1"/>
          <w:numId w:val="1"/>
        </w:numPr>
      </w:pPr>
      <w:r>
        <w:t>Canterbury (84%)</w:t>
      </w:r>
    </w:p>
    <w:p>
      <w:pPr>
        <w:pStyle w:val="SectionHeading"/>
      </w:pPr>
      <w:r>
        <w:t>Revenue by region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  <w:tblCellMar>
          <w:top w:w="80" w:type="dxa"/>
          <w:left w:w="80" w:type="dxa"/>
          <w:bottom w:w="80" w:type="dxa"/>
          <w:right w:w="80" w:type="dxa"/>
        </w:tblCellMar>
      </w:tblPr>
      <w:tblGrid>
        <w:gridCol w:w="3044"/>
        <w:gridCol w:w="1015"/>
        <w:gridCol w:w="2029"/>
        <w:gridCol w:w="2029"/>
        <w:gridCol w:w="1521"/>
      </w:tblGrid>
      <w:tr>
        <w:trPr>
          <w:tblHeader/>
        </w:trPr>
        <w:tc>
          <w:tcPr>
            <w:tcW w:w="3044" w:type="dxa"/>
            <w:shd w:val="clear" w:fill="EEF2FF"/>
          </w:tcPr>
          <w:p>
            <w:r>
              <w:rPr>
                <w:b/>
                <w:bCs/>
              </w:rPr>
              <w:t>Region</w:t>
            </w:r>
          </w:p>
        </w:tc>
        <w:tc>
          <w:tcPr>
            <w:tcW w:w="1015" w:type="dxa"/>
            <w:shd w:val="clear" w:fill="EEF2FF"/>
          </w:tcPr>
          <w:p>
            <w:pPr>
              <w:jc w:val="right"/>
            </w:pPr>
            <w:r>
              <w:rPr>
                <w:b/>
                <w:bCs/>
              </w:rPr>
              <w:t>Orders</w:t>
            </w:r>
          </w:p>
        </w:tc>
        <w:tc>
          <w:tcPr>
            <w:tcW w:w="2029" w:type="dxa"/>
            <w:shd w:val="clear" w:fill="EEF2FF"/>
          </w:tcPr>
          <w:p>
            <w:pPr>
              <w:jc w:val="right"/>
            </w:pPr>
            <w:r>
              <w:rPr>
                <w:b/>
                <w:bCs/>
              </w:rPr>
              <w:t>Revenue</w:t>
            </w:r>
          </w:p>
        </w:tc>
        <w:tc>
          <w:tcPr>
            <w:tcW w:w="2029" w:type="dxa"/>
            <w:shd w:val="clear" w:fill="EEF2FF"/>
          </w:tcPr>
          <w:p>
            <w:pPr>
              <w:jc w:val="right"/>
            </w:pPr>
            <w:r>
              <w:rPr>
                <w:b/>
                <w:bCs/>
              </w:rPr>
              <w:t>Target</w:t>
            </w:r>
          </w:p>
        </w:tc>
        <w:tc>
          <w:tcPr>
            <w:tcW w:w="1521" w:type="dxa"/>
            <w:shd w:val="clear" w:fill="EEF2FF"/>
          </w:tcPr>
          <w:p>
            <w:pPr>
              <w:jc w:val="right"/>
            </w:pPr>
            <w:r>
              <w:rPr>
                <w:b/>
                <w:bCs/>
              </w:rPr>
              <w:t>Attained</w:t>
            </w:r>
          </w:p>
        </w:tc>
      </w:tr>
      <w:tr>
        <w:tc>
          <w:tcPr>
            <w:tcW w:w="3044" w:type="dxa"/>
          </w:tcPr>
          <w:p>
            <w:r>
              <w:t>Auckland</w:t>
            </w:r>
          </w:p>
        </w:tc>
        <w:tc>
          <w:tcPr>
            <w:tcW w:w="1015" w:type="dxa"/>
          </w:tcPr>
          <w:p>
            <w:pPr>
              <w:jc w:val="right"/>
            </w:pPr>
            <w:r>
              <w:t>140</w:t>
            </w:r>
          </w:p>
        </w:tc>
        <w:tc>
          <w:tcPr>
            <w:tcW w:w="2029" w:type="dxa"/>
          </w:tcPr>
          <w:p>
            <w:pPr>
              <w:jc w:val="right"/>
            </w:pPr>
            <w:r>
              <w:t>182,000</w:t>
            </w:r>
          </w:p>
        </w:tc>
        <w:tc>
          <w:tcPr>
            <w:tcW w:w="2029" w:type="dxa"/>
          </w:tcPr>
          <w:p>
            <w:pPr>
              <w:jc w:val="right"/>
            </w:pPr>
            <w:r>
              <w:t>240,000</w:t>
            </w:r>
          </w:p>
        </w:tc>
        <w:tc>
          <w:tcPr>
            <w:tcW w:w="1521" w:type="dxa"/>
          </w:tcPr>
          <w:p>
            <w:pPr>
              <w:jc w:val="right"/>
            </w:pPr>
            <w:r>
              <w:rPr>
                <w:color w:val="B91C1C"/>
              </w:rPr>
              <w:t>76%</w:t>
            </w:r>
          </w:p>
        </w:tc>
      </w:tr>
      <w:tr>
        <w:tc>
          <w:tcPr>
            <w:tcW w:w="3044" w:type="dxa"/>
          </w:tcPr>
          <w:p>
            <w:r>
              <w:t>Waikato</w:t>
            </w:r>
          </w:p>
        </w:tc>
        <w:tc>
          <w:tcPr>
            <w:tcW w:w="1015" w:type="dxa"/>
          </w:tcPr>
          <w:p>
            <w:pPr>
              <w:jc w:val="right"/>
            </w:pPr>
            <w:r>
              <w:t>177</w:t>
            </w:r>
          </w:p>
        </w:tc>
        <w:tc>
          <w:tcPr>
            <w:tcW w:w="2029" w:type="dxa"/>
          </w:tcPr>
          <w:p>
            <w:pPr>
              <w:jc w:val="right"/>
            </w:pPr>
            <w:r>
              <w:t>230,750</w:t>
            </w:r>
          </w:p>
        </w:tc>
        <w:tc>
          <w:tcPr>
            <w:tcW w:w="2029" w:type="dxa"/>
          </w:tcPr>
          <w:p>
            <w:pPr>
              <w:jc w:val="right"/>
            </w:pPr>
            <w:r>
              <w:t>240,000</w:t>
            </w:r>
          </w:p>
        </w:tc>
        <w:tc>
          <w:tcPr>
            <w:tcW w:w="1521" w:type="dxa"/>
          </w:tcPr>
          <w:p>
            <w:pPr>
              <w:jc w:val="right"/>
            </w:pPr>
            <w:r>
              <w:rPr>
                <w:color w:val="B91C1C"/>
              </w:rPr>
              <w:t>96%</w:t>
            </w:r>
          </w:p>
        </w:tc>
      </w:tr>
      <w:tr>
        <w:tc>
          <w:tcPr>
            <w:tcW w:w="3044" w:type="dxa"/>
          </w:tcPr>
          <w:p>
            <w:r>
              <w:t>Bay of Plenty</w:t>
            </w:r>
          </w:p>
        </w:tc>
        <w:tc>
          <w:tcPr>
            <w:tcW w:w="1015" w:type="dxa"/>
          </w:tcPr>
          <w:p>
            <w:pPr>
              <w:jc w:val="right"/>
            </w:pPr>
            <w:r>
              <w:t>214</w:t>
            </w:r>
          </w:p>
        </w:tc>
        <w:tc>
          <w:tcPr>
            <w:tcW w:w="2029" w:type="dxa"/>
          </w:tcPr>
          <w:p>
            <w:pPr>
              <w:jc w:val="right"/>
            </w:pPr>
            <w:r>
              <w:t>279,500</w:t>
            </w:r>
          </w:p>
        </w:tc>
        <w:tc>
          <w:tcPr>
            <w:tcW w:w="2029" w:type="dxa"/>
          </w:tcPr>
          <w:p>
            <w:pPr>
              <w:jc w:val="right"/>
            </w:pPr>
            <w:r>
              <w:t>240,000</w:t>
            </w:r>
          </w:p>
        </w:tc>
        <w:tc>
          <w:tcPr>
            <w:tcW w:w="1521" w:type="dxa"/>
          </w:tcPr>
          <w:p>
            <w:pPr>
              <w:jc w:val="right"/>
            </w:pPr>
            <w:r>
              <w:rPr>
                <w:color w:val="15803D"/>
              </w:rPr>
              <w:t>116%</w:t>
            </w:r>
          </w:p>
        </w:tc>
      </w:tr>
      <w:tr>
        <w:tc>
          <w:tcPr>
            <w:tcW w:w="3044" w:type="dxa"/>
          </w:tcPr>
          <w:p>
            <w:r>
              <w:t>Hawke's Bay</w:t>
            </w:r>
          </w:p>
        </w:tc>
        <w:tc>
          <w:tcPr>
            <w:tcW w:w="1015" w:type="dxa"/>
          </w:tcPr>
          <w:p>
            <w:pPr>
              <w:jc w:val="right"/>
            </w:pPr>
            <w:r>
              <w:t>161</w:t>
            </w:r>
          </w:p>
        </w:tc>
        <w:tc>
          <w:tcPr>
            <w:tcW w:w="2029" w:type="dxa"/>
          </w:tcPr>
          <w:p>
            <w:pPr>
              <w:jc w:val="right"/>
            </w:pPr>
            <w:r>
              <w:t>328,250</w:t>
            </w:r>
          </w:p>
        </w:tc>
        <w:tc>
          <w:tcPr>
            <w:tcW w:w="2029" w:type="dxa"/>
          </w:tcPr>
          <w:p>
            <w:pPr>
              <w:jc w:val="right"/>
            </w:pPr>
            <w:r>
              <w:t>240,000</w:t>
            </w:r>
          </w:p>
        </w:tc>
        <w:tc>
          <w:tcPr>
            <w:tcW w:w="1521" w:type="dxa"/>
          </w:tcPr>
          <w:p>
            <w:pPr>
              <w:jc w:val="right"/>
            </w:pPr>
            <w:r>
              <w:rPr>
                <w:color w:val="15803D"/>
              </w:rPr>
              <w:t>137%</w:t>
            </w:r>
          </w:p>
        </w:tc>
      </w:tr>
      <w:tr>
        <w:tc>
          <w:tcPr>
            <w:tcW w:w="3044" w:type="dxa"/>
          </w:tcPr>
          <w:p>
            <w:r>
              <w:t>Taranaki</w:t>
            </w:r>
          </w:p>
        </w:tc>
        <w:tc>
          <w:tcPr>
            <w:tcW w:w="1015" w:type="dxa"/>
          </w:tcPr>
          <w:p>
            <w:pPr>
              <w:jc w:val="right"/>
            </w:pPr>
            <w:r>
              <w:t>198</w:t>
            </w:r>
          </w:p>
        </w:tc>
        <w:tc>
          <w:tcPr>
            <w:tcW w:w="2029" w:type="dxa"/>
          </w:tcPr>
          <w:p>
            <w:pPr>
              <w:jc w:val="right"/>
            </w:pPr>
            <w:r>
              <w:t>377,000</w:t>
            </w:r>
          </w:p>
        </w:tc>
        <w:tc>
          <w:tcPr>
            <w:tcW w:w="2029" w:type="dxa"/>
          </w:tcPr>
          <w:p>
            <w:pPr>
              <w:jc w:val="right"/>
            </w:pPr>
            <w:r>
              <w:t>240,000</w:t>
            </w:r>
          </w:p>
        </w:tc>
        <w:tc>
          <w:tcPr>
            <w:tcW w:w="1521" w:type="dxa"/>
          </w:tcPr>
          <w:p>
            <w:pPr>
              <w:jc w:val="right"/>
            </w:pPr>
            <w:r>
              <w:rPr>
                <w:color w:val="15803D"/>
              </w:rPr>
              <w:t>157%</w:t>
            </w:r>
          </w:p>
        </w:tc>
      </w:tr>
      <w:tr>
        <w:tc>
          <w:tcPr>
            <w:tcW w:w="3044" w:type="dxa"/>
          </w:tcPr>
          <w:p>
            <w:r>
              <w:t>Manawatū-Whanganui</w:t>
            </w:r>
          </w:p>
        </w:tc>
        <w:tc>
          <w:tcPr>
            <w:tcW w:w="1015" w:type="dxa"/>
          </w:tcPr>
          <w:p>
            <w:pPr>
              <w:jc w:val="right"/>
            </w:pPr>
            <w:r>
              <w:t>145</w:t>
            </w:r>
          </w:p>
        </w:tc>
        <w:tc>
          <w:tcPr>
            <w:tcW w:w="2029" w:type="dxa"/>
          </w:tcPr>
          <w:p>
            <w:pPr>
              <w:jc w:val="right"/>
            </w:pPr>
            <w:r>
              <w:t>215,750</w:t>
            </w:r>
          </w:p>
        </w:tc>
        <w:tc>
          <w:tcPr>
            <w:tcW w:w="2029" w:type="dxa"/>
          </w:tcPr>
          <w:p>
            <w:pPr>
              <w:jc w:val="right"/>
            </w:pPr>
            <w:r>
              <w:t>240,000</w:t>
            </w:r>
          </w:p>
        </w:tc>
        <w:tc>
          <w:tcPr>
            <w:tcW w:w="1521" w:type="dxa"/>
          </w:tcPr>
          <w:p>
            <w:pPr>
              <w:jc w:val="right"/>
            </w:pPr>
            <w:r>
              <w:rPr>
                <w:color w:val="B91C1C"/>
              </w:rPr>
              <w:t>90%</w:t>
            </w:r>
          </w:p>
        </w:tc>
      </w:tr>
      <w:tr>
        <w:tc>
          <w:tcPr>
            <w:tcW w:w="3044" w:type="dxa"/>
          </w:tcPr>
          <w:p>
            <w:r>
              <w:t>Wellington</w:t>
            </w:r>
          </w:p>
        </w:tc>
        <w:tc>
          <w:tcPr>
            <w:tcW w:w="1015" w:type="dxa"/>
          </w:tcPr>
          <w:p>
            <w:pPr>
              <w:jc w:val="right"/>
            </w:pPr>
            <w:r>
              <w:t>182</w:t>
            </w:r>
          </w:p>
        </w:tc>
        <w:tc>
          <w:tcPr>
            <w:tcW w:w="2029" w:type="dxa"/>
          </w:tcPr>
          <w:p>
            <w:pPr>
              <w:jc w:val="right"/>
            </w:pPr>
            <w:r>
              <w:t>264,500</w:t>
            </w:r>
          </w:p>
        </w:tc>
        <w:tc>
          <w:tcPr>
            <w:tcW w:w="2029" w:type="dxa"/>
          </w:tcPr>
          <w:p>
            <w:pPr>
              <w:jc w:val="right"/>
            </w:pPr>
            <w:r>
              <w:t>240,000</w:t>
            </w:r>
          </w:p>
        </w:tc>
        <w:tc>
          <w:tcPr>
            <w:tcW w:w="1521" w:type="dxa"/>
          </w:tcPr>
          <w:p>
            <w:pPr>
              <w:jc w:val="right"/>
            </w:pPr>
            <w:r>
              <w:rPr>
                <w:color w:val="15803D"/>
              </w:rPr>
              <w:t>110%</w:t>
            </w:r>
          </w:p>
        </w:tc>
      </w:tr>
      <w:tr>
        <w:tc>
          <w:tcPr>
            <w:tcW w:w="3044" w:type="dxa"/>
          </w:tcPr>
          <w:p>
            <w:r>
              <w:t>Nelson</w:t>
            </w:r>
          </w:p>
        </w:tc>
        <w:tc>
          <w:tcPr>
            <w:tcW w:w="1015" w:type="dxa"/>
          </w:tcPr>
          <w:p>
            <w:pPr>
              <w:jc w:val="right"/>
            </w:pPr>
            <w:r>
              <w:t>219</w:t>
            </w:r>
          </w:p>
        </w:tc>
        <w:tc>
          <w:tcPr>
            <w:tcW w:w="2029" w:type="dxa"/>
          </w:tcPr>
          <w:p>
            <w:pPr>
              <w:jc w:val="right"/>
            </w:pPr>
            <w:r>
              <w:t>313,250</w:t>
            </w:r>
          </w:p>
        </w:tc>
        <w:tc>
          <w:tcPr>
            <w:tcW w:w="2029" w:type="dxa"/>
          </w:tcPr>
          <w:p>
            <w:pPr>
              <w:jc w:val="right"/>
            </w:pPr>
            <w:r>
              <w:t>240,000</w:t>
            </w:r>
          </w:p>
        </w:tc>
        <w:tc>
          <w:tcPr>
            <w:tcW w:w="1521" w:type="dxa"/>
          </w:tcPr>
          <w:p>
            <w:pPr>
              <w:jc w:val="right"/>
            </w:pPr>
            <w:r>
              <w:rPr>
                <w:color w:val="15803D"/>
              </w:rPr>
              <w:t>131%</w:t>
            </w:r>
          </w:p>
        </w:tc>
      </w:tr>
      <w:tr>
        <w:tc>
          <w:tcPr>
            <w:tcW w:w="3044" w:type="dxa"/>
          </w:tcPr>
          <w:p>
            <w:r>
              <w:t>Marlborough</w:t>
            </w:r>
          </w:p>
        </w:tc>
        <w:tc>
          <w:tcPr>
            <w:tcW w:w="1015" w:type="dxa"/>
          </w:tcPr>
          <w:p>
            <w:pPr>
              <w:jc w:val="right"/>
            </w:pPr>
            <w:r>
              <w:t>166</w:t>
            </w:r>
          </w:p>
        </w:tc>
        <w:tc>
          <w:tcPr>
            <w:tcW w:w="2029" w:type="dxa"/>
          </w:tcPr>
          <w:p>
            <w:pPr>
              <w:jc w:val="right"/>
            </w:pPr>
            <w:r>
              <w:t>362,000</w:t>
            </w:r>
          </w:p>
        </w:tc>
        <w:tc>
          <w:tcPr>
            <w:tcW w:w="2029" w:type="dxa"/>
          </w:tcPr>
          <w:p>
            <w:pPr>
              <w:jc w:val="right"/>
            </w:pPr>
            <w:r>
              <w:t>240,000</w:t>
            </w:r>
          </w:p>
        </w:tc>
        <w:tc>
          <w:tcPr>
            <w:tcW w:w="1521" w:type="dxa"/>
          </w:tcPr>
          <w:p>
            <w:pPr>
              <w:jc w:val="right"/>
            </w:pPr>
            <w:r>
              <w:rPr>
                <w:color w:val="15803D"/>
              </w:rPr>
              <w:t>151%</w:t>
            </w:r>
          </w:p>
        </w:tc>
      </w:tr>
      <w:tr>
        <w:tc>
          <w:tcPr>
            <w:tcW w:w="3044" w:type="dxa"/>
          </w:tcPr>
          <w:p>
            <w:r>
              <w:t>Canterbury</w:t>
            </w:r>
          </w:p>
        </w:tc>
        <w:tc>
          <w:tcPr>
            <w:tcW w:w="1015" w:type="dxa"/>
          </w:tcPr>
          <w:p>
            <w:pPr>
              <w:jc w:val="right"/>
            </w:pPr>
            <w:r>
              <w:t>203</w:t>
            </w:r>
          </w:p>
        </w:tc>
        <w:tc>
          <w:tcPr>
            <w:tcW w:w="2029" w:type="dxa"/>
          </w:tcPr>
          <w:p>
            <w:pPr>
              <w:jc w:val="right"/>
            </w:pPr>
            <w:r>
              <w:t>200,750</w:t>
            </w:r>
          </w:p>
        </w:tc>
        <w:tc>
          <w:tcPr>
            <w:tcW w:w="2029" w:type="dxa"/>
          </w:tcPr>
          <w:p>
            <w:pPr>
              <w:jc w:val="right"/>
            </w:pPr>
            <w:r>
              <w:t>240,000</w:t>
            </w:r>
          </w:p>
        </w:tc>
        <w:tc>
          <w:tcPr>
            <w:tcW w:w="1521" w:type="dxa"/>
          </w:tcPr>
          <w:p>
            <w:pPr>
              <w:jc w:val="right"/>
            </w:pPr>
            <w:r>
              <w:rPr>
                <w:color w:val="B91C1C"/>
              </w:rPr>
              <w:t>84%</w:t>
            </w:r>
          </w:p>
        </w:tc>
      </w:tr>
      <w:tr>
        <w:tc>
          <w:tcPr>
            <w:tcW w:w="3044" w:type="dxa"/>
          </w:tcPr>
          <w:p>
            <w:r>
              <w:t>Otago</w:t>
            </w:r>
          </w:p>
        </w:tc>
        <w:tc>
          <w:tcPr>
            <w:tcW w:w="1015" w:type="dxa"/>
          </w:tcPr>
          <w:p>
            <w:pPr>
              <w:jc w:val="right"/>
            </w:pPr>
            <w:r>
              <w:t>150</w:t>
            </w:r>
          </w:p>
        </w:tc>
        <w:tc>
          <w:tcPr>
            <w:tcW w:w="2029" w:type="dxa"/>
          </w:tcPr>
          <w:p>
            <w:pPr>
              <w:jc w:val="right"/>
            </w:pPr>
            <w:r>
              <w:t>249,500</w:t>
            </w:r>
          </w:p>
        </w:tc>
        <w:tc>
          <w:tcPr>
            <w:tcW w:w="2029" w:type="dxa"/>
          </w:tcPr>
          <w:p>
            <w:pPr>
              <w:jc w:val="right"/>
            </w:pPr>
            <w:r>
              <w:t>240,000</w:t>
            </w:r>
          </w:p>
        </w:tc>
        <w:tc>
          <w:tcPr>
            <w:tcW w:w="1521" w:type="dxa"/>
          </w:tcPr>
          <w:p>
            <w:pPr>
              <w:jc w:val="right"/>
            </w:pPr>
            <w:r>
              <w:rPr>
                <w:color w:val="15803D"/>
              </w:rPr>
              <w:t>104%</w:t>
            </w:r>
          </w:p>
        </w:tc>
      </w:tr>
      <w:tr>
        <w:tc>
          <w:tcPr>
            <w:tcW w:w="3044" w:type="dxa"/>
          </w:tcPr>
          <w:p>
            <w:r>
              <w:t>Southland</w:t>
            </w:r>
          </w:p>
        </w:tc>
        <w:tc>
          <w:tcPr>
            <w:tcW w:w="1015" w:type="dxa"/>
          </w:tcPr>
          <w:p>
            <w:pPr>
              <w:jc w:val="right"/>
            </w:pPr>
            <w:r>
              <w:t>187</w:t>
            </w:r>
          </w:p>
        </w:tc>
        <w:tc>
          <w:tcPr>
            <w:tcW w:w="2029" w:type="dxa"/>
          </w:tcPr>
          <w:p>
            <w:pPr>
              <w:jc w:val="right"/>
            </w:pPr>
            <w:r>
              <w:t>298,250</w:t>
            </w:r>
          </w:p>
        </w:tc>
        <w:tc>
          <w:tcPr>
            <w:tcW w:w="2029" w:type="dxa"/>
          </w:tcPr>
          <w:p>
            <w:pPr>
              <w:jc w:val="right"/>
            </w:pPr>
            <w:r>
              <w:t>240,000</w:t>
            </w:r>
          </w:p>
        </w:tc>
        <w:tc>
          <w:tcPr>
            <w:tcW w:w="1521" w:type="dxa"/>
          </w:tcPr>
          <w:p>
            <w:pPr>
              <w:jc w:val="right"/>
            </w:pPr>
            <w:r>
              <w:rPr>
                <w:color w:val="15803D"/>
              </w:rPr>
              <w:t>124%</w:t>
            </w:r>
          </w:p>
        </w:tc>
      </w:tr>
    </w:tbl>
    <w:p>
      <w:r>
        <w:br w:type="page"/>
      </w:r>
    </w:p>
    <w:p>
      <w:pPr>
        <w:pStyle w:val="SectionHeading"/>
      </w:pPr>
      <w:r>
        <w:t>Method</w:t>
      </w:r>
    </w:p>
    <w:p>
      <w:pPr>
        <w:jc w:val="both"/>
      </w:pPr>
      <w:r>
        <w:t>Revenue is invoiced revenue excluding GST, recognised in the month the order shipped. Targets were set in the FY26 plan and are not adjusted for mid-quarter price changes. Attainment is revenue divided by target.</w:t>
      </w:r>
    </w:p>
    <w:sectPr>
      <w:headerReference w:type="default" r:id="rId1"/>
      <w:footerReference w:type="default" r:id="rId2"/>
      <w:pgSz w:w="11906" w:h="16838"/>
      <w:pgMar w:top="1134" w:right="1134" w:bottom="1134" w:left="1134"/>
    </w:sectPr>
  </w:body>
</w:document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du="http://schemas.microsoft.com/office/word/2023/wordml/word16du" xmlns:w16sdtfl="http://schemas.microsoft.com/office/word/2024/wordml/sdtformatlock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jc w:val="center"/>
    </w:pPr>
    <w:r>
      <w:rPr>
        <w:color w:val="64748B"/>
      </w:rPr>
      <w:t xml:space="preserve">Page </w:t>
    </w:r>
    <w:r>
      <w:rPr>
        <w:color w:val="64748B"/>
      </w:rPr>
      <w:fldChar w:fldCharType="begin"/>
    </w:r>
    <w:r>
      <w:rPr>
        <w:color w:val="64748B"/>
      </w:rPr>
      <w:instrText xml:space="preserve"> PAGE </w:instrText>
    </w:r>
    <w:r>
      <w:rPr>
        <w:color w:val="64748B"/>
      </w:rPr>
      <w:fldChar w:fldCharType="separate"/>
    </w:r>
    <w:r>
      <w:rPr>
        <w:color w:val="64748B"/>
      </w:rPr>
      <w:t>1</w:t>
    </w:r>
    <w:r>
      <w:rPr>
        <w:color w:val="64748B"/>
      </w:rPr>
      <w:fldChar w:fldCharType="end"/>
    </w:r>
    <w:r>
      <w:rPr>
        <w:color w:val="64748B"/>
      </w:rPr>
      <w:t xml:space="preserve"> of </w:t>
    </w:r>
    <w:r>
      <w:rPr>
        <w:color w:val="64748B"/>
      </w:rPr>
      <w:fldChar w:fldCharType="begin"/>
    </w:r>
    <w:r>
      <w:rPr>
        <w:color w:val="64748B"/>
      </w:rPr>
      <w:instrText xml:space="preserve"> NUMPAGES </w:instrText>
    </w:r>
    <w:r>
      <w:rPr>
        <w:color w:val="64748B"/>
      </w:rPr>
      <w:fldChar w:fldCharType="separate"/>
    </w:r>
    <w:r>
      <w:rPr>
        <w:color w:val="64748B"/>
      </w:rPr>
      <w:t>1</w:t>
    </w:r>
    <w:r>
      <w:rPr>
        <w:color w:val="64748B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du="http://schemas.microsoft.com/office/word/2023/wordml/word16du" xmlns:w16sdtfl="http://schemas.microsoft.com/office/word/2024/wordml/sdtformatlock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CellMar>
        <w:left w:w="0" w:type="dxa"/>
        <w:right w:w="0" w:type="dxa"/>
      </w:tblCellMar>
    </w:tblPr>
    <w:tblGrid>
      <w:gridCol w:w="4819"/>
      <w:gridCol w:w="4819"/>
    </w:tblGrid>
    <w:tr>
      <w:tc>
        <w:tcPr>
          <w:tcW w:w="4819" w:type="dxa"/>
        </w:tcPr>
        <w:p>
          <w:r>
            <w:rPr>
              <w:b/>
              <w:bCs/>
              <w:color w:val="1E3A8A"/>
            </w:rPr>
            <w:t>Acme Components Ltd.</w:t>
          </w:r>
        </w:p>
      </w:tc>
      <w:tc>
        <w:tcPr>
          <w:tcW w:w="4819" w:type="dxa"/>
        </w:tcPr>
        <w:p>
          <w:pPr>
            <w:jc w:val="right"/>
          </w:pPr>
          <w:r>
            <w:rPr>
              <w:color w:val="64748B"/>
            </w:rPr>
            <w:t>Quarterly sales review · Q3 2026</w:t>
          </w:r>
        </w:p>
      </w:tc>
    </w:tr>
  </w:tbl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du="http://schemas.microsoft.com/office/word/2023/wordml/word16du" xmlns:w16sdtfl="http://schemas.microsoft.com/office/word/2024/wordml/sdtformatlock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</w:lvl>
    <w:lvl w:ilvl="1">
      <w:start w:val="1"/>
      <w:numFmt w:val="decimal"/>
      <w:suff w:val="tab"/>
      <w:lvlText w:val="%2."/>
      <w:lvlJc w:val="left"/>
      <w:pPr>
        <w:ind w:left="1440" w:hanging="360"/>
      </w:pPr>
    </w:lvl>
    <w:lvl w:ilvl="2">
      <w:start w:val="1"/>
      <w:numFmt w:val="decimal"/>
      <w:suff w:val="tab"/>
      <w:lvlText w:val="%3."/>
      <w:lvlJc w:val="left"/>
      <w:pPr>
        <w:ind w:left="2160" w:hanging="360"/>
      </w:pPr>
    </w:lvl>
    <w:lvl w:ilvl="3">
      <w:start w:val="1"/>
      <w:numFmt w:val="decimal"/>
      <w:suff w:val="tab"/>
      <w:lvlText w:val="%4."/>
      <w:lvlJc w:val="left"/>
      <w:pPr>
        <w:ind w:left="2880" w:hanging="360"/>
      </w:pPr>
    </w:lvl>
    <w:lvl w:ilvl="4">
      <w:start w:val="1"/>
      <w:numFmt w:val="decimal"/>
      <w:suff w:val="tab"/>
      <w:lvlText w:val="%5."/>
      <w:lvlJc w:val="left"/>
      <w:pPr>
        <w:ind w:left="3600" w:hanging="360"/>
      </w:pPr>
    </w:lvl>
    <w:lvl w:ilvl="5">
      <w:start w:val="1"/>
      <w:numFmt w:val="decimal"/>
      <w:suff w:val="tab"/>
      <w:lvlText w:val="%6."/>
      <w:lvlJc w:val="left"/>
      <w:pPr>
        <w:ind w:left="4320" w:hanging="360"/>
      </w:pPr>
    </w:lvl>
    <w:lvl w:ilvl="6">
      <w:start w:val="1"/>
      <w:numFmt w:val="decimal"/>
      <w:suff w:val="tab"/>
      <w:lvlText w:val="%7."/>
      <w:lvlJc w:val="left"/>
      <w:pPr>
        <w:ind w:left="5040" w:hanging="360"/>
      </w:pPr>
    </w:lvl>
    <w:lvl w:ilvl="7">
      <w:start w:val="1"/>
      <w:numFmt w:val="decimal"/>
      <w:suff w:val="tab"/>
      <w:lvlText w:val="%8."/>
      <w:lvlJc w:val="left"/>
      <w:pPr>
        <w:ind w:left="5760" w:hanging="360"/>
      </w:pPr>
    </w:lvl>
    <w:lvl w:ilvl="8">
      <w:start w:val="1"/>
      <w:numFmt w:val="decimal"/>
      <w:suff w:val="tab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tyles.xml><?xml version="1.0" encoding="utf-8"?>
<w:styl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du="http://schemas.microsoft.com/office/word/2023/wordml/word16du" xmlns:w16sdtfl="http://schemas.microsoft.com/office/word/2024/wordml/sdtformatlock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Defaults>
    <w:rPrDefault>
      <w:rPr>
        <w:rFonts w:ascii="Calibri" w:hAnsi="Calibri" w:eastAsia="Calibri" w:cs="Calibri"/>
        <w:sz w:val="21"/>
        <w:szCs w:val="21"/>
      </w:rPr>
    </w:rPrDefault>
    <w:pPrDefault/>
  </w:docDefaults>
  <w:style w:type="paragraph" w:customStyle="1" w:styleId="ReportTitle">
    <w:name w:val="Report Title"/>
    <w:pPr>
      <w:spacing w:after="80"/>
    </w:pPr>
    <w:rPr>
      <w:rFonts w:ascii="Calibri Light" w:hAnsi="Calibri Light" w:eastAsia="Calibri Light" w:cs="Calibri Light"/>
      <w:color w:val="1E3A8A"/>
      <w:sz w:val="48"/>
      <w:szCs w:val="48"/>
    </w:rPr>
  </w:style>
  <w:style w:type="paragraph" w:customStyle="1" w:styleId="SectionHeading">
    <w:name w:val="Section Heading"/>
    <w:pPr>
      <w:keepNext/>
      <w:spacing w:before="360" w:after="120"/>
    </w:pPr>
    <w:rPr>
      <w:b/>
      <w:bCs/>
      <w:color w:val="1E3A8A"/>
      <w:sz w:val="28"/>
      <w:szCs w:val="2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 /><Relationship Id="rId2" Type="http://schemas.openxmlformats.org/officeDocument/2006/relationships/footer" Target="footer1.xml" /><Relationship Id="rId3" Type="http://schemas.openxmlformats.org/officeDocument/2006/relationships/styles" Target="styles.xml" /><Relationship Id="rId4" Type="http://schemas.openxmlformats.org/officeDocument/2006/relationships/numbering" Target="numbering.xml" /></Relationships>
</file>